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E15D2">
      <w:pPr>
        <w:spacing w:line="560" w:lineRule="exact"/>
        <w:jc w:val="center"/>
        <w:rPr>
          <w:rFonts w:ascii="方正小标宋简体" w:eastAsia="方正小标宋简体"/>
          <w:sz w:val="44"/>
        </w:rPr>
      </w:pPr>
      <w:r>
        <w:rPr>
          <w:rFonts w:hint="eastAsia" w:ascii="方正小标宋简体" w:eastAsia="方正小标宋简体"/>
          <w:sz w:val="44"/>
        </w:rPr>
        <w:t>关于落实《辽宁省市场监管系统登记注册专家库管理办法（试行）》中一些问题的说明</w:t>
      </w:r>
    </w:p>
    <w:p w14:paraId="764A96BE">
      <w:pPr>
        <w:spacing w:line="560" w:lineRule="exact"/>
        <w:jc w:val="both"/>
      </w:pPr>
      <w:r>
        <w:rPr>
          <w:rFonts w:hint="eastAsia"/>
        </w:rPr>
        <w:t>各市、沈抚示范区市场监督管理局</w:t>
      </w:r>
      <w:r>
        <w:rPr>
          <w:rFonts w:hint="eastAsia"/>
          <w:lang w:val="en-US" w:eastAsia="zh-CN"/>
        </w:rPr>
        <w:t>登记注册处（科）</w:t>
      </w:r>
      <w:r>
        <w:rPr>
          <w:rFonts w:hint="eastAsia"/>
        </w:rPr>
        <w:t>：</w:t>
      </w:r>
    </w:p>
    <w:p w14:paraId="7C561EA5">
      <w:pPr>
        <w:spacing w:line="560" w:lineRule="exact"/>
        <w:ind w:firstLine="632" w:firstLineChars="200"/>
        <w:jc w:val="both"/>
      </w:pPr>
      <w:r>
        <w:rPr>
          <w:rFonts w:hint="eastAsia"/>
        </w:rPr>
        <w:t>为各地更好地理解和执行《辽宁省市场监管系统登记注册专家库管理办法（试行）》（以下简称《办法》），推动我省登记注册专家库建设工作顺利开展，省局登记注册处梳理了在实际执行中可能遇到的常见问题，以问答形式形成说明供各地参考。需要特别说明的是，为确保专家库的专业性和权威性，本批次专家库建设将坚持高标准、严要求，全省首批专家总量控制在30名左右。请各单位在组织推荐工作中参照本解读，务必优中选优，准确把握相关要求。</w:t>
      </w:r>
    </w:p>
    <w:p w14:paraId="0E1D6D24">
      <w:pPr>
        <w:pStyle w:val="32"/>
        <w:numPr>
          <w:ilvl w:val="0"/>
          <w:numId w:val="1"/>
        </w:numPr>
        <w:spacing w:line="560" w:lineRule="exact"/>
        <w:ind w:firstLine="632" w:firstLineChars="200"/>
        <w:jc w:val="both"/>
        <w:outlineLvl w:val="0"/>
        <w:rPr>
          <w:rFonts w:hint="eastAsia" w:ascii="黑体" w:hAnsi="黑体" w:eastAsia="黑体"/>
        </w:rPr>
      </w:pPr>
      <w:r>
        <w:rPr>
          <w:rFonts w:hint="eastAsia" w:ascii="黑体" w:hAnsi="黑体" w:eastAsia="黑体"/>
        </w:rPr>
        <w:t>关于专家资格条件（第四条）的解读</w:t>
      </w:r>
    </w:p>
    <w:p w14:paraId="410C4F71">
      <w:pPr>
        <w:pStyle w:val="32"/>
        <w:spacing w:line="560" w:lineRule="exact"/>
        <w:ind w:left="0" w:firstLine="632" w:firstLineChars="200"/>
        <w:jc w:val="both"/>
        <w:outlineLvl w:val="1"/>
        <w:rPr>
          <w:rFonts w:hint="eastAsia" w:ascii="楷体" w:hAnsi="楷体" w:eastAsia="楷体"/>
        </w:rPr>
      </w:pPr>
      <w:r>
        <w:rPr>
          <w:rFonts w:hint="eastAsia" w:ascii="楷体" w:hAnsi="楷体" w:eastAsia="楷体"/>
        </w:rPr>
        <w:t>问题1：《办法》第四条提到专家应具备“较高的政策理论水平”和“丰富的实践经验”，在实际推荐和审核中，如何客观评价这两个标准？</w:t>
      </w:r>
    </w:p>
    <w:p w14:paraId="787764F9">
      <w:pPr>
        <w:spacing w:line="560" w:lineRule="exact"/>
        <w:ind w:firstLine="632" w:firstLineChars="200"/>
        <w:jc w:val="both"/>
      </w:pPr>
      <w:r>
        <w:rPr>
          <w:rFonts w:hint="eastAsia"/>
        </w:rPr>
        <w:t>答：“较高的政策理论水平”和“丰富的实践经验”是专家能力的核心体现，评价时需进行综合考量，避免仅凭主观印象。各推荐单位在初审时，可以从以下几个方面进行客观判断：</w:t>
      </w:r>
    </w:p>
    <w:p w14:paraId="4BBC0F1C">
      <w:pPr>
        <w:spacing w:line="560" w:lineRule="exact"/>
        <w:ind w:firstLine="632" w:firstLineChars="200"/>
        <w:jc w:val="both"/>
      </w:pPr>
      <w:r>
        <w:rPr>
          <w:rFonts w:hint="eastAsia"/>
        </w:rPr>
        <w:t>理论水平方面：是否作为核心成员参与过本地登记注册领域相关政策、规范性文件的调研或起草工作；是否在市级及以上刊物发表过相关专业论文或在重要媒体（含“市说新语</w:t>
      </w:r>
      <w:r>
        <w:t>”</w:t>
      </w:r>
      <w:r>
        <w:rPr>
          <w:rFonts w:hint="eastAsia"/>
        </w:rPr>
        <w:t>等总局官方网络媒体）上发表过专业解读文章；是否作为主讲人为区县级及以上范围的业务培训进行过授课。</w:t>
      </w:r>
    </w:p>
    <w:p w14:paraId="089C7426">
      <w:pPr>
        <w:spacing w:line="560" w:lineRule="exact"/>
        <w:ind w:firstLine="632" w:firstLineChars="200"/>
        <w:jc w:val="both"/>
      </w:pPr>
      <w:r>
        <w:rPr>
          <w:rFonts w:hint="eastAsia"/>
        </w:rPr>
        <w:t>实践经验方面：是否长期扎根登记注册一线，熟练掌握各类市场主体的登记流程与法律适用；是否牵头处理过在本地乃至全市范围内具有代表性的复杂、疑难登记案例；是否在推动本地登记注册便利化改革、优化审批服务等方面取得过突出成绩。</w:t>
      </w:r>
    </w:p>
    <w:p w14:paraId="7ED48314">
      <w:pPr>
        <w:spacing w:line="560" w:lineRule="exact"/>
        <w:ind w:firstLine="632" w:firstLineChars="200"/>
        <w:jc w:val="both"/>
      </w:pPr>
      <w:r>
        <w:rPr>
          <w:rFonts w:hint="eastAsia"/>
        </w:rPr>
        <w:t>在填写《推荐表》的“奖惩情况”和“工作简历（含主要业绩）”栏时，应尽可能详细具体，可附相关证明材料，以便评审时全面评估。</w:t>
      </w:r>
    </w:p>
    <w:p w14:paraId="07F838B9">
      <w:pPr>
        <w:spacing w:line="560" w:lineRule="exact"/>
        <w:ind w:firstLine="632" w:firstLineChars="200"/>
        <w:jc w:val="both"/>
        <w:outlineLvl w:val="1"/>
        <w:rPr>
          <w:rFonts w:hint="eastAsia" w:ascii="楷体" w:hAnsi="楷体" w:eastAsia="楷体"/>
        </w:rPr>
      </w:pPr>
      <w:r>
        <w:rPr>
          <w:rFonts w:hint="eastAsia" w:ascii="楷体" w:hAnsi="楷体" w:eastAsia="楷体"/>
        </w:rPr>
        <w:t>问题2：《办法》第四条对工作年限和人员范围设置了“原则上”的前提，应如何理解？</w:t>
      </w:r>
    </w:p>
    <w:p w14:paraId="42627308">
      <w:pPr>
        <w:spacing w:line="560" w:lineRule="exact"/>
        <w:ind w:firstLine="632" w:firstLineChars="200"/>
        <w:jc w:val="both"/>
      </w:pPr>
      <w:r>
        <w:rPr>
          <w:rFonts w:hint="eastAsia"/>
        </w:rPr>
        <w:t>答：这是为了确保专家队伍的整体专业性和经验沉淀，同时为真正优秀的特殊人才留出通道。</w:t>
      </w:r>
    </w:p>
    <w:p w14:paraId="22AEDBFF">
      <w:pPr>
        <w:spacing w:line="560" w:lineRule="exact"/>
        <w:ind w:firstLine="632" w:firstLineChars="200"/>
        <w:jc w:val="both"/>
      </w:pPr>
      <w:r>
        <w:rPr>
          <w:rFonts w:hint="eastAsia"/>
        </w:rPr>
        <w:t>关于“原则上从事登记注册相关工作满5年”：这是对专家经验积累的基本要求。但对于在登记注册领域有重大贡献或特殊才能的年轻同志，可以适当放宽。例如，某位同志虽然工作仅3-4年，但在牵头推进某项全省性的重大登记改革任务（如“一件事一次办”流程再造、企业开办“一网通办”平台建设等、处理当地“历史遗留问题”）中发挥了不可替代的关键作用，成果突出，经所在单位和市局两级重点推荐，省局将会进行专题研究，成熟一个，发展一个。</w:t>
      </w:r>
    </w:p>
    <w:p w14:paraId="293A931D">
      <w:pPr>
        <w:spacing w:line="560" w:lineRule="exact"/>
        <w:ind w:firstLine="632" w:firstLineChars="200"/>
        <w:jc w:val="both"/>
      </w:pPr>
      <w:r>
        <w:rPr>
          <w:rFonts w:hint="eastAsia"/>
        </w:rPr>
        <w:t>关于“原则上应为登记注册条线在职人员”：“登记注册条线”是一个广义的概念，不仅指在窗口直接从事受理、发照工作的同志和在后台从事审核的同志，也包括在法制、信息、政策研究等岗位，但其主要工作内容是直接服务和支撑登记注册业务的在职人员。其核心判断标准是工作的“高相关性”。</w:t>
      </w:r>
    </w:p>
    <w:p w14:paraId="473C95B4">
      <w:pPr>
        <w:spacing w:line="560" w:lineRule="exact"/>
        <w:ind w:firstLine="632" w:firstLineChars="200"/>
        <w:jc w:val="both"/>
        <w:outlineLvl w:val="1"/>
        <w:rPr>
          <w:rFonts w:hint="eastAsia" w:ascii="楷体" w:hAnsi="楷体" w:eastAsia="楷体"/>
        </w:rPr>
      </w:pPr>
      <w:r>
        <w:rPr>
          <w:rFonts w:hint="eastAsia" w:ascii="楷体" w:hAnsi="楷体" w:eastAsia="楷体"/>
        </w:rPr>
        <w:t>问题3：《办法》第四条第四款中，“特别优秀的可适当放宽相关条件”的“适当放宽”尺度如何把握？</w:t>
      </w:r>
    </w:p>
    <w:p w14:paraId="35EFC76B">
      <w:pPr>
        <w:spacing w:line="560" w:lineRule="exact"/>
        <w:ind w:firstLine="632" w:firstLineChars="200"/>
        <w:jc w:val="both"/>
      </w:pPr>
      <w:r>
        <w:rPr>
          <w:rFonts w:hint="eastAsia"/>
        </w:rPr>
        <w:t>答：“适当放宽”主要针对来自基层一线、能力和业绩都十分突出的优秀人才，不搞论资排辈。这里的“放宽”主要指工作年限和年龄限制。</w:t>
      </w:r>
    </w:p>
    <w:p w14:paraId="1227A16B">
      <w:pPr>
        <w:spacing w:line="560" w:lineRule="exact"/>
        <w:ind w:firstLine="632" w:firstLineChars="200"/>
        <w:jc w:val="both"/>
      </w:pPr>
      <w:r>
        <w:rPr>
          <w:rFonts w:hint="eastAsia"/>
        </w:rPr>
        <w:t>举例来说：某县区级局的一位窗口人员，工作3年半，但他（她）总结提炼的“小微企业‘菜单式’服务法”被市局采纳并在全市推广，极大提升了登记注册服务效率。尽管其工作年限不满5年，但其创新能力和实践成果已远超同侪。对于这类人才，可以视为“特别优秀”，在推荐时予以放宽年限限制。各市局在推荐此类人选时，务必将“特别优秀”的先进事迹和突出贡献作为材料重点，充分说明破格推荐的理由。</w:t>
      </w:r>
    </w:p>
    <w:p w14:paraId="5C9A83EA">
      <w:pPr>
        <w:pStyle w:val="32"/>
        <w:spacing w:line="560" w:lineRule="exact"/>
        <w:ind w:left="0" w:firstLine="632" w:firstLineChars="200"/>
        <w:jc w:val="both"/>
        <w:outlineLvl w:val="1"/>
        <w:rPr>
          <w:rFonts w:hint="eastAsia" w:ascii="楷体" w:hAnsi="楷体" w:eastAsia="楷体"/>
        </w:rPr>
      </w:pPr>
      <w:r>
        <w:rPr>
          <w:rFonts w:hint="eastAsia" w:ascii="楷体" w:hAnsi="楷体" w:eastAsia="楷体"/>
        </w:rPr>
        <w:t>问题4：《办法》第四条规定专家需“无违法违纪行为和不良信用记录”，各地在审核中应如何具体把握？</w:t>
      </w:r>
    </w:p>
    <w:p w14:paraId="1E33A9AD">
      <w:pPr>
        <w:spacing w:line="560" w:lineRule="exact"/>
        <w:ind w:firstLine="632" w:firstLineChars="200"/>
        <w:jc w:val="both"/>
      </w:pPr>
      <w:r>
        <w:rPr>
          <w:rFonts w:hint="eastAsia"/>
        </w:rPr>
        <w:t>答：把握这一条件，应遵循“个人承诺、公示监督、市局审核”相结合的原则，将审查责任落实到具体环节。</w:t>
      </w:r>
    </w:p>
    <w:p w14:paraId="29F31C40">
      <w:pPr>
        <w:spacing w:line="560" w:lineRule="exact"/>
        <w:ind w:firstLine="632" w:firstLineChars="200"/>
        <w:jc w:val="both"/>
        <w:rPr>
          <w:rFonts w:hint="eastAsia" w:ascii="楷体" w:hAnsi="楷体" w:eastAsia="楷体"/>
        </w:rPr>
      </w:pPr>
      <w:r>
        <w:rPr>
          <w:rFonts w:hint="eastAsia" w:ascii="楷体" w:hAnsi="楷体" w:eastAsia="楷体"/>
        </w:rPr>
        <w:t>关于“无违法违纪行为”的把握：</w:t>
      </w:r>
    </w:p>
    <w:p w14:paraId="6E8F8FE6">
      <w:pPr>
        <w:spacing w:line="560" w:lineRule="exact"/>
        <w:ind w:firstLine="632" w:firstLineChars="200"/>
        <w:jc w:val="both"/>
      </w:pPr>
      <w:r>
        <w:rPr>
          <w:rFonts w:hint="eastAsia"/>
        </w:rPr>
        <w:t>1.个人承诺：候选人在填写《推荐表》时，必须在“个人意见”栏中明确做出承诺。例如，可手写“本人承诺符合《办法》第四条规定的各项条件，无违法违纪行为和不良信用记录，表中信息真实有效。”并签名。不需要单独提交《个人无违法违纪行为承诺书》。</w:t>
      </w:r>
    </w:p>
    <w:p w14:paraId="149063CB">
      <w:pPr>
        <w:spacing w:line="560" w:lineRule="exact"/>
        <w:ind w:firstLine="632" w:firstLineChars="200"/>
        <w:jc w:val="both"/>
      </w:pPr>
      <w:r>
        <w:rPr>
          <w:rFonts w:hint="eastAsia"/>
        </w:rPr>
        <w:t>2.公示监督：如在公示期间接到关于候选人违法违纪问题的实名举报，将暂停对相关候选人的聘任程序并进行调查核实。</w:t>
      </w:r>
    </w:p>
    <w:p w14:paraId="7B38E11A">
      <w:pPr>
        <w:spacing w:line="560" w:lineRule="exact"/>
        <w:ind w:firstLine="632" w:firstLineChars="200"/>
        <w:jc w:val="both"/>
        <w:rPr>
          <w:rFonts w:hint="eastAsia" w:ascii="楷体" w:hAnsi="楷体" w:eastAsia="楷体"/>
        </w:rPr>
      </w:pPr>
      <w:r>
        <w:rPr>
          <w:rFonts w:hint="eastAsia" w:ascii="楷体" w:hAnsi="楷体" w:eastAsia="楷体"/>
        </w:rPr>
        <w:t>关于“无不良信用记录”的把握：</w:t>
      </w:r>
    </w:p>
    <w:p w14:paraId="50209251">
      <w:pPr>
        <w:spacing w:line="560" w:lineRule="exact"/>
        <w:ind w:firstLine="632" w:firstLineChars="200"/>
        <w:jc w:val="both"/>
      </w:pPr>
      <w:r>
        <w:rPr>
          <w:rFonts w:hint="eastAsia"/>
        </w:rPr>
        <w:t>此项审查侧重于核查候选人是否存在严重的、公开的失信行为，重点是核实其是否被列为“失信被执行人”。</w:t>
      </w:r>
    </w:p>
    <w:p w14:paraId="0C99FF2D">
      <w:pPr>
        <w:spacing w:line="560" w:lineRule="exact"/>
        <w:ind w:firstLine="632" w:firstLineChars="200"/>
        <w:jc w:val="both"/>
      </w:pPr>
      <w:r>
        <w:rPr>
          <w:rFonts w:hint="eastAsia"/>
        </w:rPr>
        <w:t>1.个人承诺：如上所述，要求候选人在《推荐表》的“个人意见”栏中一并作出承诺（手写内容同前）。</w:t>
      </w:r>
    </w:p>
    <w:p w14:paraId="0ADF1B59">
      <w:pPr>
        <w:spacing w:line="560" w:lineRule="exact"/>
        <w:ind w:firstLine="632" w:firstLineChars="200"/>
        <w:jc w:val="both"/>
      </w:pPr>
      <w:r>
        <w:rPr>
          <w:rFonts w:hint="eastAsia"/>
        </w:rPr>
        <w:t>2.市局审核：市局形成本市最终推荐人选前，应通过官方平台对拟向省局推荐的最终人选进行核查（此项核查简便高效，为“规定动作”不可省略）：</w:t>
      </w:r>
    </w:p>
    <w:p w14:paraId="2C28C913">
      <w:pPr>
        <w:spacing w:line="560" w:lineRule="exact"/>
        <w:ind w:firstLine="632" w:firstLineChars="200"/>
        <w:jc w:val="both"/>
      </w:pPr>
      <w:r>
        <w:rPr>
          <w:rFonts w:hint="eastAsia"/>
        </w:rPr>
        <w:t>“中国执行信息公开网（</w:t>
      </w:r>
      <w:r>
        <w:fldChar w:fldCharType="begin"/>
      </w:r>
      <w:r>
        <w:instrText xml:space="preserve"> HYPERLINK "http://zxgk.court.gov.cn/zhzxgk/" </w:instrText>
      </w:r>
      <w:r>
        <w:fldChar w:fldCharType="separate"/>
      </w:r>
      <w:r>
        <w:rPr>
          <w:rStyle w:val="18"/>
        </w:rPr>
        <w:t>http://zxgk.court.gov.cn/zhzxgk/</w:t>
      </w:r>
      <w:r>
        <w:rPr>
          <w:rStyle w:val="18"/>
        </w:rPr>
        <w:fldChar w:fldCharType="end"/>
      </w:r>
      <w:r>
        <w:rPr>
          <w:rFonts w:hint="eastAsia"/>
        </w:rPr>
        <w:t>）”：查询拟推荐名单候选人是否被人民法院列为“失信被执行人”。</w:t>
      </w:r>
    </w:p>
    <w:p w14:paraId="33B6AA08">
      <w:pPr>
        <w:spacing w:line="560" w:lineRule="exact"/>
        <w:ind w:firstLine="632" w:firstLineChars="200"/>
        <w:jc w:val="both"/>
      </w:pPr>
      <w:r>
        <w:rPr>
          <w:rFonts w:hint="eastAsia"/>
        </w:rPr>
        <w:t>凡在上述平台核查中，被确认为“失信被执行人”的，实行“一票否决”。</w:t>
      </w:r>
    </w:p>
    <w:p w14:paraId="4633D9C1">
      <w:pPr>
        <w:pStyle w:val="32"/>
        <w:numPr>
          <w:ilvl w:val="0"/>
          <w:numId w:val="2"/>
        </w:numPr>
        <w:spacing w:line="560" w:lineRule="exact"/>
        <w:ind w:left="632"/>
        <w:jc w:val="both"/>
        <w:outlineLvl w:val="0"/>
        <w:rPr>
          <w:rFonts w:hint="eastAsia" w:ascii="黑体" w:hAnsi="黑体" w:eastAsia="黑体"/>
        </w:rPr>
      </w:pPr>
      <w:r>
        <w:rPr>
          <w:rFonts w:hint="eastAsia" w:ascii="黑体" w:hAnsi="黑体" w:eastAsia="黑体"/>
        </w:rPr>
        <w:t>关于专家聘任程序的解读</w:t>
      </w:r>
    </w:p>
    <w:p w14:paraId="77EB46CE">
      <w:pPr>
        <w:spacing w:line="560" w:lineRule="exact"/>
        <w:ind w:firstLine="632" w:firstLineChars="200"/>
        <w:jc w:val="both"/>
        <w:outlineLvl w:val="1"/>
        <w:rPr>
          <w:rFonts w:hint="eastAsia" w:ascii="楷体" w:hAnsi="楷体" w:eastAsia="楷体"/>
        </w:rPr>
      </w:pPr>
      <w:r>
        <w:rPr>
          <w:rFonts w:hint="eastAsia" w:ascii="楷体" w:hAnsi="楷体" w:eastAsia="楷体"/>
        </w:rPr>
        <w:t>问题5：《办法》第五条中“所在单位推荐”和“省、市登记机关提名”有何区别？基层人员应如何参与？</w:t>
      </w:r>
    </w:p>
    <w:p w14:paraId="0DC31586">
      <w:pPr>
        <w:spacing w:line="560" w:lineRule="exact"/>
        <w:ind w:firstLine="632" w:firstLineChars="200"/>
        <w:jc w:val="both"/>
      </w:pPr>
      <w:r>
        <w:rPr>
          <w:rFonts w:hint="eastAsia"/>
        </w:rPr>
        <w:t>答：两者是互为补充的人才选拔渠道。</w:t>
      </w:r>
    </w:p>
    <w:p w14:paraId="540D0D0E">
      <w:pPr>
        <w:spacing w:line="560" w:lineRule="exact"/>
        <w:ind w:firstLine="632" w:firstLineChars="200"/>
        <w:jc w:val="both"/>
      </w:pPr>
      <w:r>
        <w:rPr>
          <w:rFonts w:hint="eastAsia"/>
        </w:rPr>
        <w:t>所在单位推荐：这是专家选拔的主要渠道，是一个自下而上的规范流程。一般由各级登记注</w:t>
      </w:r>
      <w:bookmarkStart w:id="0" w:name="_GoBack"/>
      <w:bookmarkEnd w:id="0"/>
      <w:r>
        <w:rPr>
          <w:rFonts w:hint="eastAsia"/>
        </w:rPr>
        <w:t>册机构推荐，被推荐人员应认真填写《登记注册领域专家库入库推荐表》，在“个人意见”栏签署同意被推荐（以及前述承诺内容）等意见后，按照表格规定的流程，先报所在登记注册机构（处、科）部门负责人审核签字，再报所在单位（区、县或市局）审核盖章，最后由各市局汇总推荐。</w:t>
      </w:r>
    </w:p>
    <w:p w14:paraId="13BAB465">
      <w:pPr>
        <w:spacing w:line="560" w:lineRule="exact"/>
        <w:ind w:firstLine="632" w:firstLineChars="200"/>
        <w:jc w:val="both"/>
      </w:pPr>
      <w:r>
        <w:rPr>
          <w:rFonts w:hint="eastAsia"/>
        </w:rPr>
        <w:t>省、市登记机关提名：这是一个自上而下的补充渠道。主要是为了避免一些优秀人才因各种原因未能通过单位推荐渠道进入视野。例如，省局或市局在日常工作、调研或评审中，发现某位同志专业能力非常突出，但其单位可能未能及时推荐，此时省局或市局可以直接提名该同志作为候选人，该候选人后续仍需按程序填报《推荐表》并接受评审。</w:t>
      </w:r>
    </w:p>
    <w:p w14:paraId="42C4A264">
      <w:pPr>
        <w:spacing w:line="560" w:lineRule="exact"/>
        <w:ind w:firstLine="632" w:firstLineChars="200"/>
        <w:jc w:val="both"/>
        <w:outlineLvl w:val="1"/>
        <w:rPr>
          <w:rFonts w:hint="eastAsia" w:ascii="楷体" w:hAnsi="楷体" w:eastAsia="楷体"/>
        </w:rPr>
      </w:pPr>
      <w:r>
        <w:rPr>
          <w:rFonts w:hint="eastAsia" w:ascii="楷体" w:hAnsi="楷体" w:eastAsia="楷体"/>
        </w:rPr>
        <w:t>问题6：《办法》第五条规定了公示环节，请问具体在哪公示？由谁来组织？以什么形式进行？</w:t>
      </w:r>
    </w:p>
    <w:p w14:paraId="0C96A17C">
      <w:pPr>
        <w:spacing w:line="560" w:lineRule="exact"/>
        <w:ind w:firstLine="632" w:firstLineChars="200"/>
        <w:jc w:val="both"/>
      </w:pPr>
      <w:r>
        <w:rPr>
          <w:rFonts w:hint="eastAsia"/>
        </w:rPr>
        <w:t>答： 公示是确保专家选拔工作公开、公平、公正的重要环节，相关单位务必严格按要求操作。</w:t>
      </w:r>
    </w:p>
    <w:p w14:paraId="09BDCCA5">
      <w:pPr>
        <w:spacing w:line="560" w:lineRule="exact"/>
        <w:ind w:firstLine="632" w:firstLineChars="200"/>
        <w:jc w:val="both"/>
      </w:pPr>
      <w:r>
        <w:rPr>
          <w:rFonts w:hint="eastAsia"/>
        </w:rPr>
        <w:t>公示的组织与地点：公示工作由</w:t>
      </w:r>
      <w:r>
        <w:rPr>
          <w:rFonts w:hint="eastAsia"/>
          <w:lang w:val="en-US" w:eastAsia="zh-CN"/>
        </w:rPr>
        <w:t>各市各自</w:t>
      </w:r>
      <w:r>
        <w:rPr>
          <w:rFonts w:hint="eastAsia"/>
        </w:rPr>
        <w:t>组织。省局评审结束后，将拟聘专家名单函告各市、沈抚示范区市场监管局，由各市</w:t>
      </w:r>
      <w:r>
        <w:rPr>
          <w:rFonts w:hint="eastAsia"/>
          <w:lang w:eastAsia="zh-CN"/>
        </w:rPr>
        <w:t>、</w:t>
      </w:r>
      <w:r>
        <w:rPr>
          <w:rFonts w:hint="eastAsia"/>
        </w:rPr>
        <w:t>沈抚示范区登记注册机构负责通知并督促人选所在的具体单位（如区、县局），在本单位内部进行公示。</w:t>
      </w:r>
    </w:p>
    <w:p w14:paraId="2DC0F5CD">
      <w:pPr>
        <w:spacing w:line="560" w:lineRule="exact"/>
        <w:ind w:firstLine="632" w:firstLineChars="200"/>
        <w:jc w:val="both"/>
      </w:pPr>
      <w:r>
        <w:rPr>
          <w:rFonts w:hint="eastAsia"/>
        </w:rPr>
        <w:t>公示的形式与内容：公示主要采取在单位内部公示栏张贴（或OA发布）形式。公示内容须包括：拟聘任人选的姓名、所在部门、职务，公示期限（5个工作日），以及负责受理意见反馈的市局登记注册机构联系方式（联系人及电话）。</w:t>
      </w:r>
    </w:p>
    <w:p w14:paraId="0F8840F5">
      <w:pPr>
        <w:pStyle w:val="32"/>
        <w:numPr>
          <w:ilvl w:val="0"/>
          <w:numId w:val="3"/>
        </w:numPr>
        <w:spacing w:line="560" w:lineRule="exact"/>
        <w:ind w:firstLine="632" w:firstLineChars="200"/>
        <w:jc w:val="both"/>
        <w:outlineLvl w:val="0"/>
        <w:rPr>
          <w:rFonts w:hint="eastAsia" w:ascii="黑体" w:hAnsi="黑体" w:eastAsia="黑体"/>
        </w:rPr>
      </w:pPr>
      <w:r>
        <w:rPr>
          <w:rFonts w:hint="eastAsia" w:ascii="黑体" w:hAnsi="黑体" w:eastAsia="黑体"/>
        </w:rPr>
        <w:t>关于专家权利、义务与管理（第七、八、十、十一条）的解读</w:t>
      </w:r>
    </w:p>
    <w:p w14:paraId="5A81E86F">
      <w:pPr>
        <w:pStyle w:val="32"/>
        <w:spacing w:line="560" w:lineRule="exact"/>
        <w:ind w:left="0" w:firstLine="632" w:firstLineChars="200"/>
        <w:jc w:val="both"/>
        <w:outlineLvl w:val="1"/>
        <w:rPr>
          <w:rFonts w:hint="eastAsia" w:ascii="楷体" w:hAnsi="楷体" w:eastAsia="楷体"/>
        </w:rPr>
      </w:pPr>
      <w:r>
        <w:rPr>
          <w:rFonts w:hint="eastAsia" w:ascii="楷体" w:hAnsi="楷体" w:eastAsia="楷体"/>
        </w:rPr>
        <w:t>问题7：《办法》第七条提到的专家“优先”权利如何保障？</w:t>
      </w:r>
    </w:p>
    <w:p w14:paraId="65B1CE57">
      <w:pPr>
        <w:spacing w:line="560" w:lineRule="exact"/>
        <w:ind w:firstLine="632" w:firstLineChars="200"/>
        <w:jc w:val="both"/>
      </w:pPr>
      <w:r>
        <w:rPr>
          <w:rFonts w:hint="eastAsia"/>
        </w:rPr>
        <w:t>答：“优先权”是省局对专家智力贡献的一种肯定和回馈，主要体现在：</w:t>
      </w:r>
    </w:p>
    <w:p w14:paraId="1FBC247A">
      <w:pPr>
        <w:spacing w:line="560" w:lineRule="exact"/>
        <w:ind w:firstLine="632" w:firstLineChars="200"/>
        <w:jc w:val="both"/>
      </w:pPr>
      <w:r>
        <w:rPr>
          <w:rFonts w:hint="eastAsia"/>
        </w:rPr>
        <w:t>优先参与权：在组织开展全省性的登记注册业务培训、专题研讨会、重大课题调研、立法听证等活动时，若有名额限制，将优先邀请专家库成员参加。</w:t>
      </w:r>
    </w:p>
    <w:p w14:paraId="358832A7">
      <w:pPr>
        <w:spacing w:line="560" w:lineRule="exact"/>
        <w:ind w:firstLine="632" w:firstLineChars="200"/>
        <w:jc w:val="both"/>
      </w:pPr>
      <w:r>
        <w:rPr>
          <w:rFonts w:hint="eastAsia"/>
        </w:rPr>
        <w:t>优先知情权：省局拟制定的重要政策文件、规范性文件或改革方案，在公开征求意见前，会优先定向发送给专家库成员，听取其专业意见和建议。</w:t>
      </w:r>
    </w:p>
    <w:p w14:paraId="6BBB4D6C">
      <w:pPr>
        <w:spacing w:line="560" w:lineRule="exact"/>
        <w:ind w:firstLine="632" w:firstLineChars="200"/>
        <w:jc w:val="both"/>
      </w:pPr>
      <w:r>
        <w:rPr>
          <w:rFonts w:hint="eastAsia"/>
        </w:rPr>
        <w:t xml:space="preserve">建立登记注册专家库是提升我省登记注册工作专业化、科学化水平的重要举措，请各地高度重视，认真学习领会《办法》，广泛动员，严格把关，积极推荐本地区的优秀人才，共同为助力辽宁全面振兴新突破贡献智慧和力量。 </w:t>
      </w:r>
    </w:p>
    <w:sectPr>
      <w:pgSz w:w="11906" w:h="16838"/>
      <w:pgMar w:top="2098" w:right="1474" w:bottom="1984" w:left="1587" w:header="851" w:footer="1400" w:gutter="0"/>
      <w:cols w:space="425" w:num="1"/>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445764"/>
    <w:multiLevelType w:val="singleLevel"/>
    <w:tmpl w:val="2D445764"/>
    <w:lvl w:ilvl="0" w:tentative="0">
      <w:start w:val="2"/>
      <w:numFmt w:val="chineseCountingThousand"/>
      <w:suff w:val="nothing"/>
      <w:lvlText w:val="%1、"/>
      <w:lvlJc w:val="left"/>
      <w:pPr>
        <w:ind w:left="0" w:firstLine="0"/>
      </w:pPr>
    </w:lvl>
  </w:abstractNum>
  <w:abstractNum w:abstractNumId="1">
    <w:nsid w:val="3E004BA1"/>
    <w:multiLevelType w:val="singleLevel"/>
    <w:tmpl w:val="3E004BA1"/>
    <w:lvl w:ilvl="0" w:tentative="0">
      <w:start w:val="3"/>
      <w:numFmt w:val="chineseCountingThousand"/>
      <w:suff w:val="nothing"/>
      <w:lvlText w:val="%1、"/>
      <w:lvlJc w:val="left"/>
      <w:pPr>
        <w:ind w:left="0" w:firstLine="0"/>
      </w:pPr>
    </w:lvl>
  </w:abstractNum>
  <w:abstractNum w:abstractNumId="2">
    <w:nsid w:val="4DF86764"/>
    <w:multiLevelType w:val="singleLevel"/>
    <w:tmpl w:val="4DF86764"/>
    <w:lvl w:ilvl="0" w:tentative="0">
      <w:start w:val="1"/>
      <w:numFmt w:val="chineseCountingThousand"/>
      <w:suff w:val="nothing"/>
      <w:lvlText w:val="%1、"/>
      <w:lvlJc w:val="left"/>
      <w:pPr>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8"/>
  <w:drawingGridVerticalSpacing w:val="579"/>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70B"/>
    <w:rsid w:val="00026643"/>
    <w:rsid w:val="0003528A"/>
    <w:rsid w:val="000E7163"/>
    <w:rsid w:val="00135A66"/>
    <w:rsid w:val="001A6ACB"/>
    <w:rsid w:val="001E5BE1"/>
    <w:rsid w:val="00216628"/>
    <w:rsid w:val="0022070B"/>
    <w:rsid w:val="002250C4"/>
    <w:rsid w:val="0034718F"/>
    <w:rsid w:val="0038675F"/>
    <w:rsid w:val="003F0EC0"/>
    <w:rsid w:val="003F4D93"/>
    <w:rsid w:val="0043014A"/>
    <w:rsid w:val="00445E08"/>
    <w:rsid w:val="0053487F"/>
    <w:rsid w:val="00572918"/>
    <w:rsid w:val="005E5BEE"/>
    <w:rsid w:val="0061464D"/>
    <w:rsid w:val="00643B08"/>
    <w:rsid w:val="00705FB7"/>
    <w:rsid w:val="00711AA7"/>
    <w:rsid w:val="00724465"/>
    <w:rsid w:val="00742594"/>
    <w:rsid w:val="0076220B"/>
    <w:rsid w:val="0079667F"/>
    <w:rsid w:val="007D4AAC"/>
    <w:rsid w:val="00833850"/>
    <w:rsid w:val="008C3371"/>
    <w:rsid w:val="008C550E"/>
    <w:rsid w:val="008C78FE"/>
    <w:rsid w:val="008D366E"/>
    <w:rsid w:val="009342BA"/>
    <w:rsid w:val="009D2687"/>
    <w:rsid w:val="009F099B"/>
    <w:rsid w:val="00A5730F"/>
    <w:rsid w:val="00AB62C8"/>
    <w:rsid w:val="00B608AC"/>
    <w:rsid w:val="00B64F93"/>
    <w:rsid w:val="00C37765"/>
    <w:rsid w:val="00C52CBC"/>
    <w:rsid w:val="00DC36E2"/>
    <w:rsid w:val="00EB0313"/>
    <w:rsid w:val="00F4161C"/>
    <w:rsid w:val="00F96DFF"/>
    <w:rsid w:val="597137B6"/>
    <w:rsid w:val="61D37F5F"/>
    <w:rsid w:val="6E5F0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imes New Roman" w:hAnsi="Times New Roman" w:eastAsia="仿宋" w:cs="Times New Roman"/>
      <w:kern w:val="2"/>
      <w:sz w:val="3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FollowedHyperlink"/>
    <w:basedOn w:val="16"/>
    <w:semiHidden/>
    <w:unhideWhenUsed/>
    <w:qFormat/>
    <w:uiPriority w:val="99"/>
    <w:rPr>
      <w:color w:val="96607D" w:themeColor="followedHyperlink"/>
      <w:u w:val="single"/>
      <w14:textFill>
        <w14:solidFill>
          <w14:schemeClr w14:val="folHlink"/>
        </w14:solidFill>
      </w14:textFill>
    </w:rPr>
  </w:style>
  <w:style w:type="character" w:styleId="18">
    <w:name w:val="Hyperlink"/>
    <w:basedOn w:val="16"/>
    <w:unhideWhenUsed/>
    <w:qFormat/>
    <w:uiPriority w:val="99"/>
    <w:rPr>
      <w:color w:val="467886" w:themeColor="hyperlink"/>
      <w:u w:val="single"/>
      <w14:textFill>
        <w14:solidFill>
          <w14:schemeClr w14:val="hlink"/>
        </w14:solidFill>
      </w14:textFill>
    </w:rPr>
  </w:style>
  <w:style w:type="character" w:customStyle="1" w:styleId="19">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6"/>
    <w:link w:val="5"/>
    <w:semiHidden/>
    <w:qFormat/>
    <w:uiPriority w:val="9"/>
    <w:rPr>
      <w:rFonts w:cstheme="majorBidi"/>
      <w:color w:val="104862" w:themeColor="accent1" w:themeShade="BF"/>
      <w:sz w:val="28"/>
      <w:szCs w:val="28"/>
    </w:rPr>
  </w:style>
  <w:style w:type="character" w:customStyle="1" w:styleId="23">
    <w:name w:val="标题 5 字符"/>
    <w:basedOn w:val="16"/>
    <w:link w:val="6"/>
    <w:semiHidden/>
    <w:qFormat/>
    <w:uiPriority w:val="9"/>
    <w:rPr>
      <w:rFonts w:cstheme="majorBidi"/>
      <w:color w:val="104862" w:themeColor="accent1" w:themeShade="BF"/>
      <w:sz w:val="24"/>
    </w:rPr>
  </w:style>
  <w:style w:type="character" w:customStyle="1" w:styleId="24">
    <w:name w:val="标题 6 字符"/>
    <w:basedOn w:val="16"/>
    <w:link w:val="7"/>
    <w:semiHidden/>
    <w:qFormat/>
    <w:uiPriority w:val="9"/>
    <w:rPr>
      <w:rFonts w:cstheme="majorBidi"/>
      <w:b/>
      <w:bCs/>
      <w:color w:val="104862" w:themeColor="accent1" w:themeShade="BF"/>
    </w:rPr>
  </w:style>
  <w:style w:type="character" w:customStyle="1" w:styleId="25">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6"/>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6"/>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6"/>
    <w:link w:val="34"/>
    <w:qFormat/>
    <w:uiPriority w:val="30"/>
    <w:rPr>
      <w:i/>
      <w:iCs/>
      <w:color w:val="104862" w:themeColor="accent1" w:themeShade="BF"/>
    </w:rPr>
  </w:style>
  <w:style w:type="character" w:customStyle="1" w:styleId="36">
    <w:name w:val="Intense Reference"/>
    <w:basedOn w:val="16"/>
    <w:qFormat/>
    <w:uiPriority w:val="32"/>
    <w:rPr>
      <w:b/>
      <w:bCs/>
      <w:smallCaps/>
      <w:color w:val="104862" w:themeColor="accent1" w:themeShade="BF"/>
      <w:spacing w:val="5"/>
    </w:rPr>
  </w:style>
  <w:style w:type="character" w:customStyle="1" w:styleId="37">
    <w:name w:val="Unresolved Mention"/>
    <w:basedOn w:val="16"/>
    <w:semiHidden/>
    <w:unhideWhenUsed/>
    <w:qFormat/>
    <w:uiPriority w:val="99"/>
    <w:rPr>
      <w:color w:val="605E5C"/>
      <w:shd w:val="clear" w:color="auto" w:fill="E1DFDD"/>
    </w:rPr>
  </w:style>
  <w:style w:type="character" w:customStyle="1" w:styleId="38">
    <w:name w:val="页眉 字符"/>
    <w:basedOn w:val="16"/>
    <w:link w:val="12"/>
    <w:qFormat/>
    <w:uiPriority w:val="99"/>
    <w:rPr>
      <w:rFonts w:ascii="Times New Roman" w:hAnsi="Times New Roman" w:eastAsia="仿宋" w:cs="Times New Roman"/>
      <w:sz w:val="18"/>
      <w:szCs w:val="18"/>
    </w:rPr>
  </w:style>
  <w:style w:type="character" w:customStyle="1" w:styleId="39">
    <w:name w:val="页脚 字符"/>
    <w:basedOn w:val="16"/>
    <w:link w:val="11"/>
    <w:qFormat/>
    <w:uiPriority w:val="99"/>
    <w:rPr>
      <w:rFonts w:ascii="Times New Roman" w:hAnsi="Times New Roman" w:eastAsia="仿宋"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7</Pages>
  <Words>2946</Words>
  <Characters>2985</Characters>
  <Lines>5</Lines>
  <Paragraphs>42</Paragraphs>
  <TotalTime>3</TotalTime>
  <ScaleCrop>false</ScaleCrop>
  <LinksUpToDate>false</LinksUpToDate>
  <CharactersWithSpaces>2987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2025-11-11T02:44:00Z</dcterms:created>
  <dc:creator>科研 史</dc:creator>
  <cp:lastModifiedBy>启明</cp:lastModifiedBy>
  <cp:lastPrinted>2026-09-30T01:00:06Z</cp:lastPrinted>
  <dcterms:modified xsi:type="dcterms:W3CDTF">2026-09-30T01:01:45Z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eyJoZGlkIjoiNTdhOTA4YjhmNGJlYjQ3Y2E0YmNhOGVhZGZhYzg1MGEiLCJ1c2VySWQiOiIyNTk1NzcxNzEifQ==</vt:lpwstr>
  </property>
  <property fmtid="{D5CDD505-2E9C-101B-9397-08002B2CF9AE}" pid="3" name="KSOProductBuildVer">
    <vt:lpwstr>2052-12.1.0.28505</vt:lpwstr>
  </property>
  <property fmtid="{D5CDD505-2E9C-101B-9397-08002B2CF9AE}" pid="4" name="ICV">
    <vt:lpwstr>713D06DEE41A47E691B0C496650F2DEA_13</vt:lpwstr>
  </property>
</Properties>
</file>