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right"/>
        <w:rPr>
          <w:rFonts w:hint="eastAsia"/>
        </w:rPr>
      </w:pPr>
    </w:p>
    <w:p>
      <w:pPr>
        <w:jc w:val="right"/>
        <w:rPr>
          <w:rFonts w:ascii="Times New Roman" w:hAnsi="Times New Roman"/>
        </w:rPr>
      </w:pPr>
    </w:p>
    <w:p>
      <w:pPr>
        <w:spacing w:line="595" w:lineRule="exact"/>
        <w:jc w:val="righ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05255" cy="367665"/>
                <wp:effectExtent l="0" t="0" r="0" b="0"/>
                <wp:wrapNone/>
                <wp:docPr id="3" name="GWX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40525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/>
                              </w:rPr>
                            </w:pPr>
                          </w:p>
                        </w:txbxContent>
                      </wps:txbx>
                      <wps:bodyPr lIns="0" tIns="0" rIns="0" bIns="0" upright="true"/>
                    </wps:wsp>
                  </a:graphicData>
                </a:graphic>
              </wp:anchor>
            </w:drawing>
          </mc:Choice>
          <mc:Fallback>
            <w:pict>
              <v:shape id="GWXH" o:spid="_x0000_s1026" o:spt="202" type="#_x0000_t202" style="position:absolute;left:0pt;margin-left:0pt;margin-top:0pt;height:28.95pt;width:110.65pt;z-index:251661312;mso-width-relative:page;mso-height-relative:page;" filled="f" stroked="f" coordsize="21600,21600" o:gfxdata="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BYAAABkcnMvUEsBAhQAFAAAAAgAh07iQMDz3dTVAAAABAEAAA8A&#10;AAAAAAAAAQAgAAAAOAAAAGRycy9kb3ducmV2LnhtbFBLAQIUABQAAAAIAIdO4kCpdbQ1kgEAACMD&#10;AAAOAAAAAAAAAAEAIAAAADoBAABkcnMvZTJvRG9jLnhtbFBLBQYAAAAABgAGAFkBAAA+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黑体" w:hAnsi="黑体" w:eastAsia="黑体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9919335</wp:posOffset>
                </wp:positionV>
                <wp:extent cx="6120130" cy="0"/>
                <wp:effectExtent l="0" t="28575" r="13970" b="28575"/>
                <wp:wrapNone/>
                <wp:docPr id="2" name="BTBX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BTBX2" o:spid="_x0000_s1026" o:spt="20" style="position:absolute;left:0pt;margin-top:781.05pt;height:0pt;width:481.9pt;mso-position-horizontal:center;mso-position-horizontal-relative:margin;mso-position-vertical-relative:page;z-index:251660288;mso-width-relative:page;mso-height-relative:page;" filled="f" stroked="t" coordsize="21600,21600" o:gfxdata="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ruTUgNQAAAAKAQAADwAA&#10;AAAAAAABACAAAAA4AAAAZHJzL2Rvd25yZXYueG1sUEsBAhQAFAAAAAgAh07iQJpUdI7LAQAAlAMA&#10;AA4AAAAAAAAAAQAgAAAAOQEAAGRycy9lMm9Eb2MueG1sUEsFBgAAAAAGAAYAWQEAAHYFAAAAAA==&#10;">
                <v:fill on="f" focussize="0,0"/>
                <v:stroke weight="4.5pt" color="#FF0000" linestyle="thinThick" joinstyle="round"/>
                <v:imagedata o:title=""/>
                <o:lock v:ext="edit" aspectratio="f"/>
                <w10:anchorlock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1835785</wp:posOffset>
                </wp:positionV>
                <wp:extent cx="6120130" cy="0"/>
                <wp:effectExtent l="0" t="28575" r="13970" b="28575"/>
                <wp:wrapNone/>
                <wp:docPr id="1" name="BTB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BTBX" o:spid="_x0000_s1026" o:spt="20" style="position:absolute;left:0pt;margin-top:144.55pt;height:0pt;width:481.9pt;mso-position-horizontal:center;mso-position-horizontal-relative:margin;mso-position-vertical-relative:page;z-index:251659264;mso-width-relative:page;mso-height-relative:page;" filled="f" stroked="t" coordsize="21600,21600" o:gfxdata="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Mq5w5zUAAAACAEAAA8AAAAA&#10;AAAAAQAgAAAAOAAAAGRycy9kb3ducmV2LnhtbFBLAQIUABQAAAAIAIdO4kCj+Jf9yQEAAJMDAAAO&#10;AAAAAAAAAAEAIAAAADkBAABkcnMvZTJvRG9jLnhtbFBLBQYAAAAABgAGAFkBAAB0BQAAAAA=&#10;">
                <v:fill on="f" focussize="0,0"/>
                <v:stroke weight="4.5pt" color="#FF0000" linestyle="thickThin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>
      <w:pPr>
        <w:tabs>
          <w:tab w:val="left" w:pos="948"/>
        </w:tabs>
        <w:spacing w:line="595" w:lineRule="exact"/>
        <w:rPr>
          <w:rFonts w:hint="eastAsia" w:ascii="黑体" w:hAnsi="黑体" w:eastAsia="黑体"/>
        </w:rPr>
      </w:pPr>
      <w:r>
        <w:rPr>
          <w:rFonts w:hint="eastAsia" w:ascii="黑体" w:hAnsi="黑体" w:eastAsia="黑体"/>
          <w:sz w:val="20"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1080135</wp:posOffset>
                </wp:positionV>
                <wp:extent cx="5400040" cy="713105"/>
                <wp:effectExtent l="0" t="0" r="0" b="0"/>
                <wp:wrapNone/>
                <wp:docPr id="4" name="WJB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40004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60" w:lineRule="exact"/>
                              <w:jc w:val="distribute"/>
                              <w:rPr>
                                <w:rFonts w:hint="eastAsia" w:ascii="方正小标宋简体" w:eastAsia="方正小标宋简体"/>
                                <w:color w:val="FF0000"/>
                                <w:w w:val="60"/>
                                <w:sz w:val="100"/>
                                <w:szCs w:val="114"/>
                              </w:rPr>
                            </w:pPr>
                            <w:r>
                              <w:rPr>
                                <w:rFonts w:hint="eastAsia" w:ascii="方正小标宋简体" w:hAnsi="Times New Roman" w:eastAsia="方正小标宋简体"/>
                                <w:color w:val="FF0000"/>
                                <w:w w:val="60"/>
                                <w:sz w:val="100"/>
                                <w:szCs w:val="114"/>
                              </w:rPr>
                              <w:t>辽宁省市场监督管理局</w:t>
                            </w:r>
                          </w:p>
                        </w:txbxContent>
                      </wps:txbx>
                      <wps:bodyPr lIns="36000" tIns="0" rIns="36000" bIns="0" upright="true"/>
                    </wps:wsp>
                  </a:graphicData>
                </a:graphic>
              </wp:anchor>
            </w:drawing>
          </mc:Choice>
          <mc:Fallback>
            <w:pict>
              <v:shape id="WJBT" o:spid="_x0000_s1026" o:spt="202" type="#_x0000_t202" style="position:absolute;left:0pt;margin-top:85.05pt;height:56.15pt;width:425.2pt;mso-position-horizontal:center;mso-position-horizontal-relative:margin;mso-position-vertical-relative:page;z-index:-251654144;mso-width-relative:page;mso-height-relative:page;" filled="f" stroked="f" coordsize="21600,21600" o:gfxdata="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BYAAABkcnMvUEsBAhQAFAAAAAgAh07iQMVGPljYAAAA&#10;CAEAAA8AAAAAAAAAAQAgAAAAOAAAAGRycy9kb3ducmV2LnhtbFBLAQIUABQAAAAIAIdO4kBJPP1A&#10;lQEAACsDAAAOAAAAAAAAAAEAIAAAAD0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1mm,0mm,1mm,0mm">
                  <w:txbxContent>
                    <w:p>
                      <w:pPr>
                        <w:spacing w:line="1060" w:lineRule="exact"/>
                        <w:jc w:val="distribute"/>
                        <w:rPr>
                          <w:rFonts w:hint="eastAsia" w:ascii="方正小标宋简体" w:eastAsia="方正小标宋简体"/>
                          <w:color w:val="FF0000"/>
                          <w:w w:val="60"/>
                          <w:sz w:val="100"/>
                          <w:szCs w:val="114"/>
                        </w:rPr>
                      </w:pPr>
                      <w:r>
                        <w:rPr>
                          <w:rFonts w:hint="eastAsia" w:ascii="方正小标宋简体" w:hAnsi="Times New Roman" w:eastAsia="方正小标宋简体"/>
                          <w:color w:val="FF0000"/>
                          <w:w w:val="60"/>
                          <w:sz w:val="100"/>
                          <w:szCs w:val="114"/>
                        </w:rPr>
                        <w:t>辽宁省市场监督管理局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>
      <w:pPr>
        <w:spacing w:line="700" w:lineRule="exact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关于印发《辽宁省</w:t>
      </w:r>
      <w:r>
        <w:rPr>
          <w:rFonts w:hint="eastAsia" w:ascii="方正小标宋简体" w:eastAsia="方正小标宋简体"/>
          <w:sz w:val="44"/>
          <w:lang w:val="en-US" w:eastAsia="zh-CN"/>
        </w:rPr>
        <w:t>市场监管系统</w:t>
      </w:r>
      <w:r>
        <w:rPr>
          <w:rFonts w:hint="eastAsia" w:ascii="方正小标宋简体" w:eastAsia="方正小标宋简体"/>
          <w:sz w:val="44"/>
        </w:rPr>
        <w:t>登记注册</w:t>
      </w:r>
      <w:r>
        <w:rPr>
          <w:rFonts w:hint="eastAsia" w:ascii="方正小标宋简体" w:eastAsia="方正小标宋简体"/>
          <w:sz w:val="44"/>
          <w:lang w:val="en-US" w:eastAsia="zh-CN"/>
        </w:rPr>
        <w:br w:type="textWrapping"/>
      </w:r>
      <w:r>
        <w:rPr>
          <w:rFonts w:hint="eastAsia" w:ascii="方正小标宋简体" w:eastAsia="方正小标宋简体"/>
          <w:sz w:val="44"/>
        </w:rPr>
        <w:t>专家库管理办法（试行）》的通知</w:t>
      </w:r>
    </w:p>
    <w:p>
      <w:pPr>
        <w:spacing w:line="380" w:lineRule="exact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各市、沈抚示范区</w:t>
      </w:r>
      <w:r>
        <w:rPr>
          <w:rFonts w:hint="default"/>
        </w:rPr>
        <w:t>市场监督管理</w:t>
      </w:r>
      <w:r>
        <w:rPr>
          <w:rFonts w:hint="eastAsia"/>
        </w:rPr>
        <w:t>局：</w:t>
      </w:r>
    </w:p>
    <w:p>
      <w:pPr>
        <w:ind w:firstLine="632" w:firstLineChars="200"/>
        <w:rPr>
          <w:rFonts w:hint="eastAsia"/>
        </w:rPr>
      </w:pPr>
      <w:r>
        <w:rPr>
          <w:rFonts w:hint="eastAsia"/>
        </w:rPr>
        <w:t>现将《辽宁省</w:t>
      </w:r>
      <w:r>
        <w:rPr>
          <w:rFonts w:hint="eastAsia"/>
          <w:lang w:val="en-US" w:eastAsia="zh-CN"/>
        </w:rPr>
        <w:t>市场监管系统</w:t>
      </w:r>
      <w:r>
        <w:rPr>
          <w:rFonts w:hint="eastAsia"/>
        </w:rPr>
        <w:t>登记注册专家库管理办法（试行）》印发给你们，请结合实际认真抓好</w:t>
      </w:r>
      <w:r>
        <w:rPr>
          <w:rFonts w:hint="default"/>
        </w:rPr>
        <w:t>落实</w:t>
      </w:r>
      <w:r>
        <w:rPr>
          <w:rFonts w:hint="eastAsia"/>
        </w:rPr>
        <w:t>。</w:t>
      </w:r>
    </w:p>
    <w:p>
      <w:pPr>
        <w:ind w:firstLine="632" w:firstLineChars="200"/>
        <w:rPr>
          <w:rFonts w:hint="eastAsia"/>
        </w:rPr>
      </w:pPr>
    </w:p>
    <w:p>
      <w:pPr>
        <w:ind w:left="1895" w:hanging="1896" w:hangingChars="600"/>
        <w:rPr>
          <w:rFonts w:hint="eastAsia"/>
        </w:rPr>
      </w:pPr>
    </w:p>
    <w:p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辽宁省市场监督管理局</w:t>
      </w:r>
    </w:p>
    <w:p>
      <w:pPr>
        <w:ind w:right="1264" w:rightChars="400"/>
        <w:jc w:val="right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202</w:t>
      </w:r>
      <w:r>
        <w:rPr>
          <w:rFonts w:hint="eastAsia" w:ascii="华文仿宋" w:hAnsi="华文仿宋" w:eastAsia="华文仿宋" w:cs="华文仿宋"/>
          <w:lang w:val="en-US" w:eastAsia="zh-CN"/>
        </w:rPr>
        <w:t>6</w:t>
      </w:r>
      <w:r>
        <w:rPr>
          <w:rFonts w:hint="eastAsia" w:ascii="华文仿宋" w:hAnsi="华文仿宋" w:eastAsia="华文仿宋" w:cs="华文仿宋"/>
        </w:rPr>
        <w:t>年</w:t>
      </w:r>
      <w:r>
        <w:rPr>
          <w:rFonts w:hint="eastAsia" w:ascii="华文仿宋" w:hAnsi="华文仿宋" w:eastAsia="华文仿宋" w:cs="华文仿宋"/>
          <w:lang w:val="en-US" w:eastAsia="zh-CN"/>
        </w:rPr>
        <w:t>9</w:t>
      </w:r>
      <w:r>
        <w:rPr>
          <w:rFonts w:hint="eastAsia" w:ascii="华文仿宋" w:hAnsi="华文仿宋" w:eastAsia="华文仿宋" w:cs="华文仿宋"/>
        </w:rPr>
        <w:t>月</w:t>
      </w:r>
      <w:r>
        <w:rPr>
          <w:rFonts w:hint="eastAsia" w:ascii="华文仿宋" w:hAnsi="华文仿宋" w:eastAsia="华文仿宋" w:cs="华文仿宋"/>
          <w:lang w:val="en-US" w:eastAsia="zh-CN"/>
        </w:rPr>
        <w:t>30</w:t>
      </w:r>
      <w:r>
        <w:rPr>
          <w:rFonts w:hint="eastAsia" w:ascii="华文仿宋" w:hAnsi="华文仿宋" w:eastAsia="华文仿宋" w:cs="华文仿宋"/>
        </w:rPr>
        <w:t>日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95" w:beforeLines="100" w:line="660" w:lineRule="exact"/>
        <w:jc w:val="center"/>
        <w:textAlignment w:val="auto"/>
        <w:rPr>
          <w:rFonts w:hint="eastAsia" w:ascii="方正小标宋简体" w:hAnsi="Nimbus Roman No9 L" w:eastAsia="方正小标宋简体" w:cs="Nimbus Roman No9 L"/>
          <w:sz w:val="32"/>
          <w:szCs w:val="32"/>
        </w:rPr>
      </w:pPr>
      <w:r>
        <w:rPr>
          <w:rFonts w:hint="eastAsia"/>
        </w:rPr>
        <w:br w:type="page"/>
      </w:r>
      <w:r>
        <w:rPr>
          <w:rFonts w:hint="eastAsia" w:ascii="方正小标宋简体" w:hAnsi="Nimbus Roman No9 L" w:eastAsia="方正小标宋简体" w:cs="Nimbus Roman No9 L"/>
          <w:sz w:val="44"/>
          <w:szCs w:val="44"/>
        </w:rPr>
        <w:t>辽宁省</w:t>
      </w:r>
      <w:r>
        <w:rPr>
          <w:rFonts w:hint="eastAsia" w:ascii="方正小标宋简体" w:hAnsi="Nimbus Roman No9 L" w:eastAsia="方正小标宋简体" w:cs="Nimbus Roman No9 L"/>
          <w:sz w:val="44"/>
          <w:szCs w:val="44"/>
          <w:lang w:val="en-US" w:eastAsia="zh-CN"/>
        </w:rPr>
        <w:t>市场监管系统</w:t>
      </w:r>
      <w:r>
        <w:rPr>
          <w:rFonts w:hint="eastAsia" w:ascii="方正小标宋简体" w:hAnsi="Nimbus Roman No9 L" w:eastAsia="方正小标宋简体" w:cs="Nimbus Roman No9 L"/>
          <w:sz w:val="44"/>
          <w:szCs w:val="44"/>
        </w:rPr>
        <w:t>登记注册专家库管理办法</w:t>
      </w:r>
      <w:r>
        <w:rPr>
          <w:rFonts w:hint="eastAsia" w:ascii="华文楷体" w:hAnsi="华文楷体" w:eastAsia="华文楷体" w:cs="华文楷体"/>
          <w:sz w:val="32"/>
          <w:szCs w:val="32"/>
        </w:rPr>
        <w:t>（试行）</w:t>
      </w:r>
    </w:p>
    <w:p>
      <w:pPr>
        <w:jc w:val="center"/>
        <w:rPr>
          <w:rFonts w:hint="eastAsia" w:ascii="Nimbus Roman No9 L" w:hAnsi="Nimbus Roman No9 L" w:eastAsia="楷体_GB2312" w:cs="Nimbus Roman No9 L"/>
          <w:sz w:val="32"/>
          <w:szCs w:val="32"/>
        </w:rPr>
      </w:pP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第一条</w:t>
      </w:r>
      <w:r>
        <w:rPr>
          <w:rFonts w:hint="eastAsia" w:eastAsia="仿宋_GB2312"/>
          <w:sz w:val="32"/>
          <w:szCs w:val="32"/>
        </w:rPr>
        <w:t xml:space="preserve"> 为落实</w:t>
      </w:r>
      <w:r>
        <w:rPr>
          <w:rFonts w:hint="eastAsia" w:eastAsia="仿宋_GB2312"/>
          <w:sz w:val="32"/>
          <w:szCs w:val="32"/>
          <w:highlight w:val="none"/>
        </w:rPr>
        <w:t>《辽宁省市场监管系统登记注册专业能力提升行动实施方案（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</w:rPr>
        <w:t>2025—2027</w:t>
      </w:r>
      <w:r>
        <w:rPr>
          <w:rFonts w:hint="eastAsia" w:eastAsia="仿宋_GB2312"/>
          <w:sz w:val="32"/>
          <w:szCs w:val="32"/>
          <w:highlight w:val="none"/>
        </w:rPr>
        <w:t>年）》，</w:t>
      </w:r>
      <w:r>
        <w:rPr>
          <w:rFonts w:eastAsia="仿宋_GB2312"/>
          <w:sz w:val="32"/>
          <w:szCs w:val="32"/>
        </w:rPr>
        <w:t>建设一支政治素质好、理论素养高、业务能力强、实践经验丰富的登记注册专家队伍</w:t>
      </w:r>
      <w:r>
        <w:rPr>
          <w:rFonts w:hint="eastAsia" w:eastAsia="仿宋_GB2312"/>
          <w:sz w:val="32"/>
          <w:szCs w:val="32"/>
        </w:rPr>
        <w:t>，加强辽宁省市场监管</w:t>
      </w:r>
      <w:r>
        <w:rPr>
          <w:rFonts w:hint="eastAsia" w:eastAsia="仿宋_GB2312"/>
          <w:sz w:val="32"/>
          <w:szCs w:val="32"/>
          <w:lang w:val="en-US" w:eastAsia="zh-CN"/>
        </w:rPr>
        <w:t>系统</w:t>
      </w:r>
      <w:r>
        <w:rPr>
          <w:rFonts w:hint="eastAsia" w:eastAsia="仿宋_GB2312"/>
          <w:sz w:val="32"/>
          <w:szCs w:val="32"/>
        </w:rPr>
        <w:t>登记注册专家库（以下简称“专家库”）管理，发挥专家库专家（以下简称“专家”）在推动经营主体高质量发展、助力辽宁全面振兴新突破中的智力支持作用，结合工作实际，制定本办法。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专家库的建设、使用、管理及其他相关活动，适用本办法。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专家库由省市场监督管理局（以下简称“省局”）建立和管理，省局登记注册处负责日常工作，包括专家联络、培训组织、动态调整等具体事务。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第四条</w:t>
      </w:r>
      <w:r>
        <w:rPr>
          <w:rFonts w:hint="eastAsia" w:eastAsia="仿宋_GB2312"/>
          <w:sz w:val="32"/>
          <w:szCs w:val="32"/>
        </w:rPr>
        <w:t xml:space="preserve"> 专家应当符合下列条件：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（一）拥护党的领导，热爱市场监管事业，坚持正确政治方向，具有良好的职业道德，作风正派、廉洁奉公、遵纪守法；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（二）熟悉登记注册相关法律法规和政策，具有较高的政策理论水平、扎实的专业知识和丰富的实践经验，无违法违纪行为和不良信用记录，原则上从事登记注册相关工作满</w:t>
      </w:r>
      <w:r>
        <w:rPr>
          <w:rFonts w:hint="eastAsia" w:ascii="华文仿宋" w:hAnsi="华文仿宋" w:eastAsia="华文仿宋" w:cs="华文仿宋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（三）原则上应为登记注册条线在职人员，其年龄应当能够保证在本办法规定的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个聘期（</w:t>
      </w:r>
      <w:r>
        <w:rPr>
          <w:rFonts w:hint="eastAsia" w:eastAsia="仿宋_GB2312"/>
          <w:sz w:val="32"/>
          <w:szCs w:val="32"/>
        </w:rPr>
        <w:t>一般为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）届满时，仍未超过其本人法定退休年龄；对于在登记注册领域作出重要贡献、专业能力特别突出、业内公认的资深专家，如工作确有需要，经省局研究同意，可以特别聘任；   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（四）注重从基层一线选拔优秀人才，特别优秀的可适当放宽相关条件。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专家聘任依照下列程序进行：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（一）推荐：专家候选人通过所在单位推荐或省、市登记机关提名等方式提出申请，并提交真实、完整的申请材料。</w:t>
      </w:r>
    </w:p>
    <w:p>
      <w:pPr>
        <w:spacing w:line="560" w:lineRule="exact"/>
        <w:ind w:firstLine="63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（二）初审：各市登记机关对推荐材料进行资格初审，提出初审意见。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（三）评审：省局登记注册处对初审通过人员进行评审，提出拟聘专家建议名单。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（四）公示：对拟聘专家建议名单在其所在单位公示，公示期为</w:t>
      </w:r>
      <w:r>
        <w:rPr>
          <w:rFonts w:hint="eastAsia" w:ascii="华文仿宋" w:hAnsi="华文仿宋" w:eastAsia="华文仿宋" w:cs="华文仿宋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个工作日。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（五）审定与聘任：公示期满无异议的，由省局登记注册处审定批准。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专家履行下列职责：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（一）参与全省登记注册领域重大政策、重要文件的研究和制定，提出创新性、前瞻性意见；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（二）对全省登记注册工作进行业务指导，提供咨询建议，协助解决疑难问题；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（三）承担登记注册业务培训、授课、培训教材撰写等任务及宣传工作；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（四）参与登记注册领域相关课题研究和学术交流；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（五）完成省局交办的其他工作任务。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第七条</w:t>
      </w:r>
      <w:r>
        <w:rPr>
          <w:rFonts w:hint="eastAsia" w:eastAsia="仿宋_GB2312"/>
          <w:sz w:val="32"/>
          <w:szCs w:val="32"/>
        </w:rPr>
        <w:t xml:space="preserve"> 专家享有下列权利：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（一）依法对参与的工作独立提出意见和建议，不受任何单位和个人干预；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（二）向省局反映登记注册工作情况，提出改进意见和建议；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（三）优先参加国家及省级登记注册业务培训、学术交流活动，优先获取相关政策信息；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（四）根据个人意愿申请退出专家库。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专家应当履行下列义务：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（一）认真、公正、客观地履行专家职责，按时完成工作任务；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（二）遵守工作纪律，保守国家机密和工作秘密；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（三）积极参加省局组织的各项活动，无正当理由不得拒绝履行职责。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聘期届满前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个月，省局启动新一届专家库组建工作。专家仍符合本办法第四条规定条件且工作需要，可续聘连任。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第十条</w:t>
      </w:r>
      <w:r>
        <w:rPr>
          <w:rFonts w:hint="eastAsia" w:eastAsia="仿宋_GB2312"/>
          <w:sz w:val="32"/>
          <w:szCs w:val="32"/>
        </w:rPr>
        <w:t xml:space="preserve"> 专家库实行动态管理。省局根据工作需要，</w:t>
      </w:r>
      <w:r>
        <w:rPr>
          <w:rFonts w:eastAsia="仿宋_GB2312"/>
          <w:sz w:val="32"/>
          <w:szCs w:val="32"/>
        </w:rPr>
        <w:t>结合每届专家库组建，同步</w:t>
      </w:r>
      <w:r>
        <w:rPr>
          <w:rFonts w:hint="eastAsia" w:eastAsia="仿宋_GB2312"/>
          <w:sz w:val="32"/>
          <w:szCs w:val="32"/>
        </w:rPr>
        <w:t>组织评估调整</w:t>
      </w:r>
      <w:r>
        <w:rPr>
          <w:rFonts w:eastAsia="仿宋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</w:rPr>
        <w:t>经专家申请或省局审核，可适时增补或解聘专家。动态调整程序包括审核、公示和聘任。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第十一条</w:t>
      </w:r>
      <w:r>
        <w:rPr>
          <w:rFonts w:hint="eastAsia" w:eastAsia="仿宋_GB2312"/>
          <w:sz w:val="32"/>
          <w:szCs w:val="32"/>
        </w:rPr>
        <w:t xml:space="preserve"> 专家有下列情形之一的，由省局予以解聘：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（一）本人申请退出并经省局同意的；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（二）不再符合本办法第四条规定条件或不能继续履行职责的；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</w:rPr>
        <w:t>年内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次无正当理由拒绝履行职责的；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（四）存在违法违纪行为或严重失职的；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（五）其他不适合担任专家的情形。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第十二条</w:t>
      </w:r>
      <w:r>
        <w:rPr>
          <w:rFonts w:hint="eastAsia" w:eastAsia="仿宋_GB2312"/>
          <w:sz w:val="32"/>
          <w:szCs w:val="32"/>
        </w:rPr>
        <w:t xml:space="preserve"> 省局为专家履行职责提供必要的工作条件和保障，确保专家有效参与相关工作。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第十三条</w:t>
      </w:r>
      <w:r>
        <w:rPr>
          <w:rFonts w:hint="eastAsia" w:eastAsia="仿宋_GB2312"/>
          <w:sz w:val="32"/>
          <w:szCs w:val="32"/>
        </w:rPr>
        <w:t xml:space="preserve"> 省局登记注册处履行下列日常管理职责：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（一）负责专家库的组建、联络和服务保障；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（二）组织专家培训、研究和交流活动；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（三）办理专家的聘任、续聘、解聘、考核及表彰等事务；</w:t>
      </w:r>
    </w:p>
    <w:p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（四）落实专家库建设等相关工作。</w:t>
      </w:r>
    </w:p>
    <w:p>
      <w:pPr>
        <w:spacing w:line="560" w:lineRule="exact"/>
        <w:ind w:firstLine="632" w:firstLineChars="200"/>
        <w:rPr>
          <w:rFonts w:hint="eastAsia" w:eastAsia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第十四条</w:t>
      </w:r>
      <w:r>
        <w:rPr>
          <w:rFonts w:hint="eastAsia" w:eastAsia="仿宋_GB2312"/>
          <w:sz w:val="32"/>
          <w:szCs w:val="32"/>
        </w:rPr>
        <w:t xml:space="preserve"> 本办法未尽事宜，由省局登记注册处按照有关规定负责解释执行。</w:t>
      </w:r>
    </w:p>
    <w:p>
      <w:pPr>
        <w:spacing w:line="560" w:lineRule="exact"/>
        <w:ind w:firstLine="632" w:firstLineChars="200"/>
        <w:rPr>
          <w:rFonts w:hint="eastAsia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第十五条</w:t>
      </w:r>
      <w:r>
        <w:rPr>
          <w:rFonts w:hint="eastAsia" w:eastAsia="仿宋_GB2312"/>
          <w:sz w:val="32"/>
          <w:szCs w:val="32"/>
        </w:rPr>
        <w:t xml:space="preserve"> 本办法自印发之日起施行。</w:t>
      </w:r>
    </w:p>
    <w:sectPr>
      <w:footerReference r:id="rId3" w:type="default"/>
      <w:footerReference r:id="rId4" w:type="even"/>
      <w:pgSz w:w="11906" w:h="16838"/>
      <w:pgMar w:top="1928" w:right="1474" w:bottom="1814" w:left="1588" w:header="851" w:footer="1531" w:gutter="0"/>
      <w:cols w:space="720" w:num="1"/>
      <w:titlePg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Nimbus Roman No9 L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20" w:leftChars="100" w:right="320" w:rightChars="100"/>
      <w:rPr>
        <w:rStyle w:val="6"/>
        <w:rFonts w:hint="eastAsia"/>
        <w:b/>
        <w:bCs/>
        <w:sz w:val="28"/>
      </w:rPr>
    </w:pPr>
    <w:r>
      <w:rPr>
        <w:rStyle w:val="6"/>
        <w:rFonts w:hint="eastAsia"/>
        <w:sz w:val="28"/>
      </w:rPr>
      <w:t>—</w:t>
    </w:r>
    <w:r>
      <w:rPr>
        <w:rStyle w:val="6"/>
        <w:sz w:val="28"/>
      </w:rPr>
      <w:t xml:space="preserve"> </w:t>
    </w:r>
    <w:r>
      <w:rPr>
        <w:sz w:val="28"/>
      </w:rPr>
      <w:fldChar w:fldCharType="begin"/>
    </w:r>
    <w:r>
      <w:rPr>
        <w:rStyle w:val="6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6"/>
        <w:sz w:val="28"/>
      </w:rPr>
      <w:t>2</w:t>
    </w:r>
    <w:r>
      <w:rPr>
        <w:sz w:val="28"/>
      </w:rPr>
      <w:fldChar w:fldCharType="end"/>
    </w:r>
    <w:r>
      <w:rPr>
        <w:rStyle w:val="6"/>
        <w:sz w:val="28"/>
      </w:rPr>
      <w:t xml:space="preserve"> </w:t>
    </w:r>
    <w:r>
      <w:rPr>
        <w:rStyle w:val="6"/>
        <w:rFonts w:hint="eastAsia"/>
        <w:sz w:val="28"/>
      </w:rPr>
      <w:t>—</w:t>
    </w:r>
  </w:p>
  <w:p>
    <w:pPr>
      <w:pStyle w:val="2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20" w:leftChars="100" w:right="320" w:rightChars="100"/>
      <w:rPr>
        <w:rStyle w:val="6"/>
        <w:rFonts w:hint="eastAsia"/>
        <w:b/>
        <w:bCs/>
        <w:sz w:val="28"/>
      </w:rPr>
    </w:pPr>
    <w:r>
      <w:rPr>
        <w:rStyle w:val="6"/>
        <w:rFonts w:hint="eastAsia"/>
        <w:sz w:val="28"/>
      </w:rPr>
      <w:t>—</w:t>
    </w:r>
    <w:r>
      <w:rPr>
        <w:rStyle w:val="6"/>
        <w:sz w:val="28"/>
      </w:rPr>
      <w:t xml:space="preserve"> </w:t>
    </w:r>
    <w:r>
      <w:rPr>
        <w:sz w:val="28"/>
      </w:rPr>
      <w:fldChar w:fldCharType="begin"/>
    </w:r>
    <w:r>
      <w:rPr>
        <w:rStyle w:val="6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6"/>
        <w:sz w:val="28"/>
      </w:rPr>
      <w:t>2</w:t>
    </w:r>
    <w:r>
      <w:rPr>
        <w:sz w:val="28"/>
      </w:rPr>
      <w:fldChar w:fldCharType="end"/>
    </w:r>
    <w:r>
      <w:rPr>
        <w:rStyle w:val="6"/>
        <w:sz w:val="28"/>
      </w:rPr>
      <w:t xml:space="preserve"> </w:t>
    </w:r>
    <w:r>
      <w:rPr>
        <w:rStyle w:val="6"/>
        <w:rFonts w:hint="eastAsia"/>
        <w:sz w:val="28"/>
      </w:rPr>
      <w:t>—</w:t>
    </w:r>
  </w:p>
  <w:p>
    <w:pPr>
      <w:pStyle w:val="2"/>
      <w:ind w:right="360" w:firstLine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true"/>
  <w:bordersDoNotSurroundHeader w:val="true"/>
  <w:bordersDoNotSurroundFooter w:val="true"/>
  <w:doNotTrackMoves/>
  <w:documentProtection w:enforcement="0"/>
  <w:defaultTabStop w:val="420"/>
  <w:evenAndOddHeaders w:val="true"/>
  <w:drawingGridHorizontalSpacing w:val="158"/>
  <w:drawingGridVerticalSpacing w:val="5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92"/>
    <w:rsid w:val="00017E65"/>
    <w:rsid w:val="00022483"/>
    <w:rsid w:val="00076D85"/>
    <w:rsid w:val="00083359"/>
    <w:rsid w:val="000926E9"/>
    <w:rsid w:val="00095EC5"/>
    <w:rsid w:val="000C7AE8"/>
    <w:rsid w:val="000D25DD"/>
    <w:rsid w:val="000D62D4"/>
    <w:rsid w:val="000E76B2"/>
    <w:rsid w:val="00103867"/>
    <w:rsid w:val="00110E66"/>
    <w:rsid w:val="00141144"/>
    <w:rsid w:val="00142BA2"/>
    <w:rsid w:val="0015089F"/>
    <w:rsid w:val="00151495"/>
    <w:rsid w:val="00163EC3"/>
    <w:rsid w:val="001772F3"/>
    <w:rsid w:val="00184159"/>
    <w:rsid w:val="00185EC7"/>
    <w:rsid w:val="0019493D"/>
    <w:rsid w:val="001C08C6"/>
    <w:rsid w:val="001C0AF5"/>
    <w:rsid w:val="001E1497"/>
    <w:rsid w:val="001E313A"/>
    <w:rsid w:val="001F314B"/>
    <w:rsid w:val="00213774"/>
    <w:rsid w:val="0025069C"/>
    <w:rsid w:val="002724DE"/>
    <w:rsid w:val="00273926"/>
    <w:rsid w:val="00297D83"/>
    <w:rsid w:val="002B4A47"/>
    <w:rsid w:val="002C4A49"/>
    <w:rsid w:val="002E64E0"/>
    <w:rsid w:val="00307089"/>
    <w:rsid w:val="003071E8"/>
    <w:rsid w:val="00345B67"/>
    <w:rsid w:val="003A0EBB"/>
    <w:rsid w:val="003A6AB1"/>
    <w:rsid w:val="003C42D7"/>
    <w:rsid w:val="003D6247"/>
    <w:rsid w:val="003F12F3"/>
    <w:rsid w:val="004146CA"/>
    <w:rsid w:val="00442BD6"/>
    <w:rsid w:val="0045535F"/>
    <w:rsid w:val="0047176D"/>
    <w:rsid w:val="00476A55"/>
    <w:rsid w:val="004A0018"/>
    <w:rsid w:val="004B6997"/>
    <w:rsid w:val="004C08B2"/>
    <w:rsid w:val="004C2140"/>
    <w:rsid w:val="004E7709"/>
    <w:rsid w:val="004F6F87"/>
    <w:rsid w:val="005051DF"/>
    <w:rsid w:val="00561F06"/>
    <w:rsid w:val="00587F1B"/>
    <w:rsid w:val="00590EE0"/>
    <w:rsid w:val="00594138"/>
    <w:rsid w:val="005E3874"/>
    <w:rsid w:val="006234BA"/>
    <w:rsid w:val="00642C46"/>
    <w:rsid w:val="0064408B"/>
    <w:rsid w:val="00684106"/>
    <w:rsid w:val="00692B32"/>
    <w:rsid w:val="006A1FE8"/>
    <w:rsid w:val="006B7FCC"/>
    <w:rsid w:val="006D4609"/>
    <w:rsid w:val="006E325F"/>
    <w:rsid w:val="00701051"/>
    <w:rsid w:val="007330F5"/>
    <w:rsid w:val="0073768F"/>
    <w:rsid w:val="007636D5"/>
    <w:rsid w:val="007637F9"/>
    <w:rsid w:val="00783BF2"/>
    <w:rsid w:val="007A0FEC"/>
    <w:rsid w:val="007B4E6D"/>
    <w:rsid w:val="007C2DB1"/>
    <w:rsid w:val="00831E8C"/>
    <w:rsid w:val="0083582C"/>
    <w:rsid w:val="00846CA8"/>
    <w:rsid w:val="00864D75"/>
    <w:rsid w:val="00865168"/>
    <w:rsid w:val="00866CEC"/>
    <w:rsid w:val="00883505"/>
    <w:rsid w:val="008F0552"/>
    <w:rsid w:val="0090004A"/>
    <w:rsid w:val="00912B0C"/>
    <w:rsid w:val="00921C91"/>
    <w:rsid w:val="0094602E"/>
    <w:rsid w:val="0094799A"/>
    <w:rsid w:val="00956644"/>
    <w:rsid w:val="00982626"/>
    <w:rsid w:val="00982F69"/>
    <w:rsid w:val="00990B92"/>
    <w:rsid w:val="009B3FD3"/>
    <w:rsid w:val="009B7021"/>
    <w:rsid w:val="009D490D"/>
    <w:rsid w:val="009E07ED"/>
    <w:rsid w:val="00A11B65"/>
    <w:rsid w:val="00A46D0C"/>
    <w:rsid w:val="00A53183"/>
    <w:rsid w:val="00A637CE"/>
    <w:rsid w:val="00A842BD"/>
    <w:rsid w:val="00AA27F8"/>
    <w:rsid w:val="00AB062F"/>
    <w:rsid w:val="00AB3D14"/>
    <w:rsid w:val="00AC1FED"/>
    <w:rsid w:val="00AC6197"/>
    <w:rsid w:val="00AF4FF6"/>
    <w:rsid w:val="00B23A71"/>
    <w:rsid w:val="00B27985"/>
    <w:rsid w:val="00B4510A"/>
    <w:rsid w:val="00B535F9"/>
    <w:rsid w:val="00B81943"/>
    <w:rsid w:val="00B920FB"/>
    <w:rsid w:val="00BA340F"/>
    <w:rsid w:val="00BC523D"/>
    <w:rsid w:val="00BD066A"/>
    <w:rsid w:val="00BD369D"/>
    <w:rsid w:val="00C0689E"/>
    <w:rsid w:val="00C12F1A"/>
    <w:rsid w:val="00C3446B"/>
    <w:rsid w:val="00C664CE"/>
    <w:rsid w:val="00C80F63"/>
    <w:rsid w:val="00C97620"/>
    <w:rsid w:val="00CB3A34"/>
    <w:rsid w:val="00CE0AB4"/>
    <w:rsid w:val="00D16CB7"/>
    <w:rsid w:val="00D2354D"/>
    <w:rsid w:val="00D33985"/>
    <w:rsid w:val="00D364B8"/>
    <w:rsid w:val="00D9598D"/>
    <w:rsid w:val="00DC5E34"/>
    <w:rsid w:val="00DE3E36"/>
    <w:rsid w:val="00DF4977"/>
    <w:rsid w:val="00E24B91"/>
    <w:rsid w:val="00E263AA"/>
    <w:rsid w:val="00E4313B"/>
    <w:rsid w:val="00E730F1"/>
    <w:rsid w:val="00E9338D"/>
    <w:rsid w:val="00EB0534"/>
    <w:rsid w:val="00EB1071"/>
    <w:rsid w:val="00EB20B2"/>
    <w:rsid w:val="00EB43B8"/>
    <w:rsid w:val="00EF0D69"/>
    <w:rsid w:val="00F12DAD"/>
    <w:rsid w:val="00F173BC"/>
    <w:rsid w:val="00F2267D"/>
    <w:rsid w:val="00F57C42"/>
    <w:rsid w:val="00F6247D"/>
    <w:rsid w:val="00F64C12"/>
    <w:rsid w:val="00F66AD4"/>
    <w:rsid w:val="00F872DF"/>
    <w:rsid w:val="00F908A1"/>
    <w:rsid w:val="00F925F4"/>
    <w:rsid w:val="00FB0B32"/>
    <w:rsid w:val="00FC2B55"/>
    <w:rsid w:val="00FE15A5"/>
    <w:rsid w:val="00FF7FC2"/>
    <w:rsid w:val="14426F44"/>
    <w:rsid w:val="209D38B5"/>
    <w:rsid w:val="2B085E65"/>
    <w:rsid w:val="334308AF"/>
    <w:rsid w:val="3DBE5E74"/>
    <w:rsid w:val="3EE50AAD"/>
    <w:rsid w:val="3F3D5750"/>
    <w:rsid w:val="51566F57"/>
    <w:rsid w:val="54043E40"/>
    <w:rsid w:val="5A8B7AD6"/>
    <w:rsid w:val="5D7EA438"/>
    <w:rsid w:val="67CA3473"/>
    <w:rsid w:val="68C21DBA"/>
    <w:rsid w:val="6C6A2BC9"/>
    <w:rsid w:val="6FBF472A"/>
    <w:rsid w:val="6FF828C8"/>
    <w:rsid w:val="74FBA948"/>
    <w:rsid w:val="77FC9F7A"/>
    <w:rsid w:val="7A743F6F"/>
    <w:rsid w:val="7D1844E7"/>
    <w:rsid w:val="7E5FA1F8"/>
    <w:rsid w:val="7F75B47E"/>
    <w:rsid w:val="7FE7D8BD"/>
    <w:rsid w:val="9FBF7384"/>
    <w:rsid w:val="EDFB9526"/>
    <w:rsid w:val="F7775CE6"/>
    <w:rsid w:val="FD4D473F"/>
    <w:rsid w:val="FDEAF4C0"/>
    <w:rsid w:val="FDFD3086"/>
    <w:rsid w:val="FFD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华文仿宋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link w:val="2"/>
    <w:qFormat/>
    <w:uiPriority w:val="0"/>
    <w:rPr>
      <w:rFonts w:ascii="宋体" w:hAnsi="宋体" w:eastAsia="仿宋_GB2312" w:cs="Times New Roman"/>
      <w:sz w:val="18"/>
      <w:szCs w:val="32"/>
    </w:rPr>
  </w:style>
  <w:style w:type="character" w:customStyle="1" w:styleId="8">
    <w:name w:val="页眉 字符"/>
    <w:link w:val="3"/>
    <w:qFormat/>
    <w:uiPriority w:val="99"/>
    <w:rPr>
      <w:rFonts w:ascii="宋体" w:hAnsi="宋体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1741</Words>
  <Characters>1751</Characters>
  <Lines>13</Lines>
  <Paragraphs>3</Paragraphs>
  <TotalTime>0</TotalTime>
  <ScaleCrop>false</ScaleCrop>
  <LinksUpToDate>false</LinksUpToDate>
  <CharactersWithSpaces>1798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2025-12-15T11:30:00Z</dcterms:created>
  <dc:creator>SKY</dc:creator>
  <cp:lastModifiedBy>piaoll</cp:lastModifiedBy>
  <dcterms:modified xsi:type="dcterms:W3CDTF">2026-09-30T15:36:14Z</dcterms:modified>
  <dc:subject>辽宁省市场监督管理局关于2025年对外开放工作总结及2026年工作打算</dc:subject>
  <dc:title>〔2025〕号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KSOTemplateDocerSaveRecord">
    <vt:lpwstr>eyJoZGlkIjoiNTdhOTA4YjhmNGJlYjQ3Y2E0YmNhOGVhZGZhYzg1MGEiLCJ1c2VySWQiOiIyNTk1NzcxNzEifQ==</vt:lpwstr>
  </property>
  <property fmtid="{D5CDD505-2E9C-101B-9397-08002B2CF9AE}" pid="4" name="ICV">
    <vt:lpwstr>606749DF192040E29AD4DA1DD2248486_13</vt:lpwstr>
  </property>
</Properties>
</file>